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0C2" w:rsidRPr="001E10C2" w:rsidRDefault="001E10C2" w:rsidP="001E10C2">
      <w:pPr>
        <w:spacing w:after="105" w:line="240" w:lineRule="auto"/>
        <w:outlineLvl w:val="0"/>
        <w:rPr>
          <w:rFonts w:ascii="Helvetica" w:eastAsia="Times New Roman" w:hAnsi="Helvetica" w:cs="Helvetica"/>
          <w:b/>
          <w:bCs/>
          <w:color w:val="214F73"/>
          <w:kern w:val="36"/>
          <w:sz w:val="26"/>
          <w:szCs w:val="26"/>
        </w:rPr>
      </w:pPr>
      <w:permStart w:id="0" w:edGrp="everyone"/>
      <w:permEnd w:id="0"/>
      <w:r w:rsidRPr="001E10C2">
        <w:rPr>
          <w:rFonts w:ascii="Helvetica" w:eastAsia="Times New Roman" w:hAnsi="Helvetica" w:cs="Helvetica"/>
          <w:b/>
          <w:bCs/>
          <w:color w:val="214F73"/>
          <w:kern w:val="36"/>
          <w:sz w:val="26"/>
          <w:szCs w:val="26"/>
        </w:rPr>
        <w:t>Global Stem Cells Market By Application (Regenerative Medicine, Drug Discovery and Development), By Technology (Acquisition, Production, Cryopreservation), By Product (Adult Stem Cells, Human Embryonic Cells) to Reach USD 170.15 Billion by 2020</w:t>
      </w:r>
    </w:p>
    <w:p w:rsidR="001E10C2" w:rsidRPr="00276A3B" w:rsidRDefault="001E10C2" w:rsidP="001E10C2">
      <w:pPr>
        <w:spacing w:after="75" w:line="240" w:lineRule="auto"/>
        <w:rPr>
          <w:rFonts w:ascii="Verdana" w:eastAsia="Times New Roman" w:hAnsi="Verdana" w:cs="Times New Roman"/>
          <w:noProof/>
          <w:color w:val="214F73"/>
          <w:sz w:val="18"/>
          <w:szCs w:val="18"/>
        </w:rPr>
      </w:pPr>
      <w:r w:rsidRPr="00276A3B">
        <w:rPr>
          <w:rFonts w:ascii="Verdana" w:eastAsia="Times New Roman" w:hAnsi="Verdana" w:cs="Times New Roman"/>
          <w:noProof/>
          <w:color w:val="E3AF18"/>
          <w:sz w:val="18"/>
          <w:szCs w:val="18"/>
          <w:bdr w:val="none" w:sz="0" w:space="0" w:color="auto" w:frame="1"/>
        </w:rPr>
        <w:t>May 2014</w:t>
      </w:r>
    </w:p>
    <w:p w:rsidR="001E10C2" w:rsidRPr="00276A3B" w:rsidRDefault="001E10C2" w:rsidP="001E10C2">
      <w:pPr>
        <w:spacing w:after="150" w:line="315" w:lineRule="atLeast"/>
        <w:jc w:val="both"/>
        <w:rPr>
          <w:rFonts w:ascii="Verdana" w:eastAsia="Times New Roman" w:hAnsi="Verdana" w:cs="Times New Roman"/>
          <w:noProof/>
          <w:color w:val="3E3E3E"/>
          <w:sz w:val="18"/>
          <w:szCs w:val="18"/>
        </w:rPr>
      </w:pPr>
      <w:r w:rsidRPr="00276A3B">
        <w:rPr>
          <w:rFonts w:ascii="Verdana" w:eastAsia="Times New Roman" w:hAnsi="Verdana" w:cs="Times New Roman"/>
          <w:noProof/>
          <w:color w:val="3E3E3E"/>
          <w:sz w:val="18"/>
          <w:szCs w:val="18"/>
        </w:rPr>
        <w:t>The global market for stem cells is expected to reach USD 170.15 billion by 2020, according to a new study by Grand View Research, Inc. Growing prevalence of chronic diseases such as cardiovascular and liver disease, diabetes and cancer coupled with the presence of high unmet medical needs in these disease segments is expected to drive market growth during the forecast period. Moreover, increasing government support pertaining to funding R&amp;D initiatives and the growing demand for medical tourism and stem cell banking services is expected to boost the demand for stem cells over the next six years. The future of this market is expected to be driven by opportunities such as the growing global prevalence of neurodegenerative diseases, increasing demand for contract research outsourcing services and the substitution of animal tissues by stem cells.</w:t>
      </w:r>
    </w:p>
    <w:p w:rsidR="001E10C2" w:rsidRPr="00276A3B" w:rsidRDefault="001E10C2" w:rsidP="001E10C2">
      <w:pPr>
        <w:spacing w:after="150" w:line="315" w:lineRule="atLeast"/>
        <w:jc w:val="both"/>
        <w:rPr>
          <w:rFonts w:ascii="Verdana" w:eastAsia="Times New Roman" w:hAnsi="Verdana" w:cs="Times New Roman"/>
          <w:noProof/>
          <w:color w:val="3E3E3E"/>
          <w:sz w:val="18"/>
          <w:szCs w:val="18"/>
        </w:rPr>
      </w:pPr>
      <w:r w:rsidRPr="00276A3B">
        <w:rPr>
          <w:rFonts w:ascii="Verdana" w:eastAsia="Times New Roman" w:hAnsi="Verdana" w:cs="Times New Roman"/>
          <w:noProof/>
          <w:color w:val="3E3E3E"/>
          <w:sz w:val="18"/>
          <w:szCs w:val="18"/>
        </w:rPr>
        <w:t>The stem cells technology market was valued at USD 12.88 billion in 2013 and is expected to grow at a CAGR of over 12.0% during the forecast period. This market was dominated by the cell acquisitions technology segment in terms of share in 2013 owing to the fact that this technology serves as the foremost step to process involving stem cells culture. The global stem cell acquisition technology market is expected to reach USD 10.88 billion by 2020, growing at a CAGR of over 14.0% over the next six years.</w:t>
      </w:r>
    </w:p>
    <w:p w:rsidR="001E10C2" w:rsidRPr="00276A3B" w:rsidRDefault="001E10C2" w:rsidP="001E10C2">
      <w:pPr>
        <w:spacing w:after="0" w:line="315" w:lineRule="atLeast"/>
        <w:jc w:val="both"/>
        <w:rPr>
          <w:rFonts w:ascii="Verdana" w:eastAsia="Times New Roman" w:hAnsi="Verdana" w:cs="Times New Roman"/>
          <w:b/>
          <w:bCs/>
          <w:noProof/>
          <w:color w:val="3E3E3E"/>
          <w:sz w:val="20"/>
          <w:szCs w:val="20"/>
        </w:rPr>
      </w:pPr>
      <w:r w:rsidRPr="00276A3B">
        <w:rPr>
          <w:rFonts w:ascii="Verdana" w:eastAsia="Times New Roman" w:hAnsi="Verdana" w:cs="Times New Roman"/>
          <w:b/>
          <w:bCs/>
          <w:noProof/>
          <w:color w:val="3E3E3E"/>
          <w:sz w:val="20"/>
          <w:szCs w:val="20"/>
        </w:rPr>
        <w:drawing>
          <wp:inline distT="0" distB="0" distL="0" distR="0">
            <wp:extent cx="209550" cy="133350"/>
            <wp:effectExtent l="19050" t="0" r="0" b="0"/>
            <wp:docPr id="1" name="Picture 1" descr="http://www.grandviewresearch.com/img/k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ndviewresearch.com/img/key.png"/>
                    <pic:cNvPicPr>
                      <a:picLocks noChangeAspect="1" noChangeArrowheads="1"/>
                    </pic:cNvPicPr>
                  </pic:nvPicPr>
                  <pic:blipFill>
                    <a:blip r:embed="rId5"/>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276A3B">
        <w:rPr>
          <w:rFonts w:ascii="Verdana" w:eastAsia="Times New Roman" w:hAnsi="Verdana" w:cs="Times New Roman"/>
          <w:b/>
          <w:bCs/>
          <w:noProof/>
          <w:color w:val="3E3E3E"/>
          <w:sz w:val="20"/>
          <w:szCs w:val="20"/>
        </w:rPr>
        <w:t> To request a sample copy or view summary of this report, click the link below:</w:t>
      </w:r>
      <w:r w:rsidRPr="00276A3B">
        <w:rPr>
          <w:rFonts w:ascii="Verdana" w:eastAsia="Times New Roman" w:hAnsi="Verdana" w:cs="Times New Roman"/>
          <w:b/>
          <w:bCs/>
          <w:noProof/>
          <w:color w:val="3E3E3E"/>
          <w:sz w:val="20"/>
        </w:rPr>
        <w:t> </w:t>
      </w:r>
      <w:r w:rsidRPr="00276A3B">
        <w:rPr>
          <w:rFonts w:ascii="Verdana" w:eastAsia="Times New Roman" w:hAnsi="Verdana" w:cs="Times New Roman"/>
          <w:b/>
          <w:bCs/>
          <w:noProof/>
          <w:color w:val="3E3E3E"/>
          <w:sz w:val="20"/>
          <w:szCs w:val="20"/>
        </w:rPr>
        <w:br/>
      </w:r>
      <w:hyperlink r:id="rId6" w:history="1">
        <w:r w:rsidRPr="00276A3B">
          <w:rPr>
            <w:rFonts w:ascii="Verdana" w:eastAsia="Times New Roman" w:hAnsi="Verdana" w:cs="Times New Roman"/>
            <w:noProof/>
            <w:color w:val="0000FF"/>
            <w:sz w:val="20"/>
          </w:rPr>
          <w:t>http://www.grandviewresearch.com/industry-analysis/stem-cells-market</w:t>
        </w:r>
      </w:hyperlink>
    </w:p>
    <w:p w:rsidR="001E10C2" w:rsidRPr="00276A3B" w:rsidRDefault="001E10C2" w:rsidP="001E10C2">
      <w:pPr>
        <w:spacing w:after="150" w:line="315" w:lineRule="atLeast"/>
        <w:jc w:val="both"/>
        <w:rPr>
          <w:rFonts w:ascii="Verdana" w:eastAsia="Times New Roman" w:hAnsi="Verdana" w:cs="Times New Roman"/>
          <w:noProof/>
          <w:color w:val="3E3E3E"/>
          <w:sz w:val="18"/>
          <w:szCs w:val="18"/>
        </w:rPr>
      </w:pPr>
      <w:r w:rsidRPr="00276A3B">
        <w:rPr>
          <w:rFonts w:ascii="Verdana" w:eastAsia="Times New Roman" w:hAnsi="Verdana" w:cs="Times New Roman"/>
          <w:noProof/>
          <w:color w:val="3E3E3E"/>
          <w:sz w:val="18"/>
          <w:szCs w:val="18"/>
        </w:rPr>
        <w:t>Further key findings from the study suggest:</w:t>
      </w:r>
    </w:p>
    <w:p w:rsidR="001E10C2" w:rsidRPr="00276A3B" w:rsidRDefault="001E10C2" w:rsidP="001E10C2">
      <w:pPr>
        <w:numPr>
          <w:ilvl w:val="0"/>
          <w:numId w:val="1"/>
        </w:numPr>
        <w:spacing w:after="0" w:line="315" w:lineRule="atLeast"/>
        <w:ind w:left="0"/>
        <w:rPr>
          <w:rFonts w:ascii="Verdana" w:eastAsia="Times New Roman" w:hAnsi="Verdana" w:cs="Times New Roman"/>
          <w:noProof/>
          <w:color w:val="3E3E3E"/>
          <w:sz w:val="18"/>
          <w:szCs w:val="18"/>
        </w:rPr>
      </w:pPr>
      <w:r w:rsidRPr="00276A3B">
        <w:rPr>
          <w:rFonts w:ascii="Verdana" w:eastAsia="Times New Roman" w:hAnsi="Verdana" w:cs="Times New Roman"/>
          <w:noProof/>
          <w:color w:val="3E3E3E"/>
          <w:sz w:val="18"/>
          <w:szCs w:val="18"/>
        </w:rPr>
        <w:t>Adult stem cells segment dominated the overall market in 2013 with a share of over 80.0% on account of features such as low contamination probability, better acceptance by the human body and a relatively easier harvesting procedure</w:t>
      </w:r>
    </w:p>
    <w:p w:rsidR="001E10C2" w:rsidRPr="00276A3B" w:rsidRDefault="001E10C2" w:rsidP="001E10C2">
      <w:pPr>
        <w:numPr>
          <w:ilvl w:val="0"/>
          <w:numId w:val="2"/>
        </w:numPr>
        <w:spacing w:after="0" w:line="315" w:lineRule="atLeast"/>
        <w:ind w:left="0"/>
        <w:rPr>
          <w:rFonts w:ascii="Verdana" w:eastAsia="Times New Roman" w:hAnsi="Verdana" w:cs="Times New Roman"/>
          <w:noProof/>
          <w:color w:val="3E3E3E"/>
          <w:sz w:val="18"/>
          <w:szCs w:val="18"/>
        </w:rPr>
      </w:pPr>
      <w:r w:rsidRPr="00276A3B">
        <w:rPr>
          <w:rFonts w:ascii="Verdana" w:eastAsia="Times New Roman" w:hAnsi="Verdana" w:cs="Times New Roman"/>
          <w:noProof/>
          <w:color w:val="3E3E3E"/>
          <w:sz w:val="18"/>
          <w:szCs w:val="18"/>
        </w:rPr>
        <w:t>Regenerative medicine was identified as the largest stem cells application market and was valued at USD 30.16 billion in 2013. High global prevalence of neurology and orthopedic disorders and cancer is one of the most significant drivers of this market.</w:t>
      </w:r>
    </w:p>
    <w:p w:rsidR="001E10C2" w:rsidRPr="00276A3B" w:rsidRDefault="001E10C2" w:rsidP="001E10C2">
      <w:pPr>
        <w:numPr>
          <w:ilvl w:val="0"/>
          <w:numId w:val="3"/>
        </w:numPr>
        <w:spacing w:after="0" w:line="315" w:lineRule="atLeast"/>
        <w:ind w:left="0"/>
        <w:rPr>
          <w:rFonts w:ascii="Verdana" w:eastAsia="Times New Roman" w:hAnsi="Verdana" w:cs="Times New Roman"/>
          <w:noProof/>
          <w:color w:val="3E3E3E"/>
          <w:sz w:val="18"/>
          <w:szCs w:val="18"/>
        </w:rPr>
      </w:pPr>
      <w:r w:rsidRPr="00276A3B">
        <w:rPr>
          <w:rFonts w:ascii="Verdana" w:eastAsia="Times New Roman" w:hAnsi="Verdana" w:cs="Times New Roman"/>
          <w:noProof/>
          <w:color w:val="3E3E3E"/>
          <w:sz w:val="18"/>
          <w:szCs w:val="18"/>
        </w:rPr>
        <w:t>North America was the largest regional market in 2013, accounting for over 55% of global revenue. The presence of sophisticated healthcare infrastructure supporting R&amp;D and strong government support in terms of funding are some of the drivers attributing to its large share.</w:t>
      </w:r>
    </w:p>
    <w:p w:rsidR="001E10C2" w:rsidRPr="00276A3B" w:rsidRDefault="001E10C2" w:rsidP="001E10C2">
      <w:pPr>
        <w:numPr>
          <w:ilvl w:val="0"/>
          <w:numId w:val="4"/>
        </w:numPr>
        <w:spacing w:after="0" w:line="315" w:lineRule="atLeast"/>
        <w:ind w:left="0"/>
        <w:rPr>
          <w:rFonts w:ascii="Verdana" w:eastAsia="Times New Roman" w:hAnsi="Verdana" w:cs="Times New Roman"/>
          <w:noProof/>
          <w:color w:val="3E3E3E"/>
          <w:sz w:val="18"/>
          <w:szCs w:val="18"/>
        </w:rPr>
      </w:pPr>
      <w:r w:rsidRPr="00276A3B">
        <w:rPr>
          <w:rFonts w:ascii="Verdana" w:eastAsia="Times New Roman" w:hAnsi="Verdana" w:cs="Times New Roman"/>
          <w:noProof/>
          <w:color w:val="3E3E3E"/>
          <w:sz w:val="18"/>
          <w:szCs w:val="18"/>
        </w:rPr>
        <w:t>Asia Pacific is expected to grow at the highest CAGR of over 25.0% during the forecast period owing to the growing demand for medical tourism and contract research outsourcing in emerging countries such as China and India</w:t>
      </w:r>
    </w:p>
    <w:p w:rsidR="001E10C2" w:rsidRPr="00276A3B" w:rsidRDefault="001E10C2" w:rsidP="001E10C2">
      <w:pPr>
        <w:numPr>
          <w:ilvl w:val="0"/>
          <w:numId w:val="5"/>
        </w:numPr>
        <w:spacing w:after="0" w:line="315" w:lineRule="atLeast"/>
        <w:ind w:left="0"/>
        <w:rPr>
          <w:rFonts w:ascii="Verdana" w:eastAsia="Times New Roman" w:hAnsi="Verdana" w:cs="Times New Roman"/>
          <w:noProof/>
          <w:color w:val="3E3E3E"/>
          <w:sz w:val="18"/>
          <w:szCs w:val="18"/>
        </w:rPr>
      </w:pPr>
      <w:r w:rsidRPr="00276A3B">
        <w:rPr>
          <w:rFonts w:ascii="Verdana" w:eastAsia="Times New Roman" w:hAnsi="Verdana" w:cs="Times New Roman"/>
          <w:noProof/>
          <w:color w:val="3E3E3E"/>
          <w:sz w:val="18"/>
          <w:szCs w:val="18"/>
        </w:rPr>
        <w:t>Key industry participants include BioTime Inc., Advanced Cell Technology Inc., Cellular Engineering Technologies Inc., STEMCELL Technologies Inc., and Cellartis AB</w:t>
      </w:r>
    </w:p>
    <w:p w:rsidR="002950DE" w:rsidRPr="00276A3B" w:rsidRDefault="001E10C2" w:rsidP="001E10C2">
      <w:pPr>
        <w:spacing w:after="150" w:line="315" w:lineRule="atLeast"/>
        <w:jc w:val="both"/>
        <w:rPr>
          <w:rFonts w:ascii="Verdana" w:eastAsia="Times New Roman" w:hAnsi="Verdana" w:cs="Times New Roman"/>
          <w:noProof/>
          <w:color w:val="3E3E3E"/>
          <w:sz w:val="18"/>
          <w:szCs w:val="18"/>
        </w:rPr>
      </w:pPr>
      <w:r w:rsidRPr="00276A3B">
        <w:rPr>
          <w:rFonts w:ascii="Verdana" w:eastAsia="Times New Roman" w:hAnsi="Verdana" w:cs="Times New Roman"/>
          <w:noProof/>
          <w:color w:val="3E3E3E"/>
          <w:sz w:val="18"/>
          <w:szCs w:val="18"/>
        </w:rPr>
        <w:t>For the purpose of this study, Grand View Research has segmented the global stem cells market on the basis of product, application, technology and region:</w:t>
      </w:r>
    </w:p>
    <w:p w:rsidR="001E10C2" w:rsidRPr="00276A3B" w:rsidRDefault="001E10C2" w:rsidP="001E10C2">
      <w:pPr>
        <w:spacing w:after="150" w:line="315" w:lineRule="atLeast"/>
        <w:jc w:val="both"/>
        <w:rPr>
          <w:rStyle w:val="Strong"/>
          <w:rFonts w:ascii="Verdana" w:hAnsi="Verdana"/>
          <w:noProof/>
          <w:color w:val="214F73"/>
          <w:sz w:val="18"/>
          <w:szCs w:val="18"/>
        </w:rPr>
      </w:pPr>
      <w:r w:rsidRPr="00276A3B">
        <w:rPr>
          <w:rStyle w:val="apple-converted-space"/>
          <w:rFonts w:ascii="Verdana" w:hAnsi="Verdana"/>
          <w:b/>
          <w:bCs/>
          <w:noProof/>
          <w:color w:val="214F73"/>
          <w:sz w:val="18"/>
          <w:szCs w:val="18"/>
        </w:rPr>
        <w:lastRenderedPageBreak/>
        <w:t> </w:t>
      </w:r>
      <w:r w:rsidRPr="00276A3B">
        <w:rPr>
          <w:rStyle w:val="Strong"/>
          <w:rFonts w:ascii="Verdana" w:hAnsi="Verdana"/>
          <w:noProof/>
          <w:color w:val="214F73"/>
          <w:sz w:val="18"/>
          <w:szCs w:val="18"/>
        </w:rPr>
        <w:t>• Stem Cells Product Outlook</w:t>
      </w:r>
    </w:p>
    <w:p w:rsidR="001E10C2" w:rsidRPr="00276A3B" w:rsidRDefault="001E10C2" w:rsidP="001E10C2">
      <w:pPr>
        <w:spacing w:after="150" w:line="315" w:lineRule="atLeast"/>
        <w:jc w:val="both"/>
        <w:rPr>
          <w:rFonts w:ascii="Verdana" w:hAnsi="Verdana"/>
          <w:noProof/>
          <w:color w:val="3E3E3E"/>
          <w:sz w:val="18"/>
          <w:szCs w:val="18"/>
        </w:rPr>
      </w:pPr>
      <w:r w:rsidRPr="00276A3B">
        <w:rPr>
          <w:rFonts w:ascii="Verdana" w:eastAsia="Times New Roman" w:hAnsi="Verdana" w:cs="Times New Roman"/>
          <w:noProof/>
          <w:color w:val="3E3E3E"/>
          <w:sz w:val="18"/>
          <w:szCs w:val="18"/>
        </w:rPr>
        <w:tab/>
      </w:r>
      <w:r w:rsidRPr="00276A3B">
        <w:rPr>
          <w:rFonts w:ascii="Verdana" w:hAnsi="Verdana"/>
          <w:noProof/>
          <w:color w:val="3E3E3E"/>
          <w:sz w:val="18"/>
          <w:szCs w:val="18"/>
        </w:rPr>
        <w:t>• Stem Cells Platforms</w:t>
      </w:r>
    </w:p>
    <w:p w:rsidR="001E10C2" w:rsidRPr="00276A3B" w:rsidRDefault="001E10C2" w:rsidP="001E10C2">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Fonts w:ascii="Verdana" w:hAnsi="Verdana"/>
          <w:noProof/>
          <w:color w:val="3E3E3E"/>
          <w:sz w:val="18"/>
          <w:szCs w:val="18"/>
        </w:rPr>
        <w:tab/>
      </w:r>
      <w:r w:rsidRPr="00276A3B">
        <w:rPr>
          <w:rStyle w:val="Strong"/>
          <w:rFonts w:ascii="Verdana" w:hAnsi="Verdana"/>
          <w:noProof/>
          <w:color w:val="214F73"/>
          <w:sz w:val="18"/>
          <w:szCs w:val="18"/>
        </w:rPr>
        <w:t> </w:t>
      </w:r>
      <w:r w:rsidRPr="00276A3B">
        <w:rPr>
          <w:rFonts w:ascii="Verdana" w:hAnsi="Verdana"/>
          <w:noProof/>
          <w:color w:val="3E3E3E"/>
          <w:sz w:val="18"/>
          <w:szCs w:val="18"/>
        </w:rPr>
        <w:t>• Sequence Analysis Platforms</w:t>
      </w:r>
    </w:p>
    <w:p w:rsidR="001E10C2" w:rsidRPr="00276A3B" w:rsidRDefault="001E10C2" w:rsidP="001E10C2">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Style w:val="Strong"/>
          <w:rFonts w:ascii="Verdana" w:hAnsi="Verdana"/>
          <w:noProof/>
          <w:color w:val="214F73"/>
          <w:sz w:val="18"/>
          <w:szCs w:val="18"/>
        </w:rPr>
        <w:t> </w:t>
      </w:r>
      <w:r w:rsidRPr="00276A3B">
        <w:rPr>
          <w:rFonts w:ascii="Verdana" w:hAnsi="Verdana"/>
          <w:noProof/>
          <w:color w:val="3E3E3E"/>
          <w:sz w:val="18"/>
          <w:szCs w:val="18"/>
        </w:rPr>
        <w:t>• Adult Stem Cells</w:t>
      </w:r>
    </w:p>
    <w:p w:rsidR="001E10C2" w:rsidRPr="00276A3B" w:rsidRDefault="001E10C2" w:rsidP="001E10C2">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Fonts w:ascii="Verdana" w:hAnsi="Verdana"/>
          <w:noProof/>
          <w:color w:val="3E3E3E"/>
          <w:sz w:val="18"/>
          <w:szCs w:val="18"/>
        </w:rPr>
        <w:tab/>
        <w:t>• Hematopoietic Stem Cells</w:t>
      </w:r>
    </w:p>
    <w:p w:rsidR="001E10C2" w:rsidRPr="00276A3B" w:rsidRDefault="001E10C2" w:rsidP="001E10C2">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Fonts w:ascii="Verdana" w:hAnsi="Verdana"/>
          <w:noProof/>
          <w:color w:val="3E3E3E"/>
          <w:sz w:val="18"/>
          <w:szCs w:val="18"/>
        </w:rPr>
        <w:tab/>
        <w:t>• Mesenchymal Stem Cells</w:t>
      </w:r>
    </w:p>
    <w:p w:rsidR="001E10C2" w:rsidRPr="00276A3B" w:rsidRDefault="001E10C2" w:rsidP="001E10C2">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Fonts w:ascii="Verdana" w:hAnsi="Verdana"/>
          <w:noProof/>
          <w:color w:val="3E3E3E"/>
          <w:sz w:val="18"/>
          <w:szCs w:val="18"/>
        </w:rPr>
        <w:tab/>
      </w:r>
      <w:r w:rsidRPr="00276A3B">
        <w:rPr>
          <w:rStyle w:val="Strong"/>
          <w:rFonts w:ascii="Verdana" w:hAnsi="Verdana"/>
          <w:noProof/>
          <w:color w:val="214F73"/>
          <w:sz w:val="18"/>
          <w:szCs w:val="18"/>
        </w:rPr>
        <w:t> </w:t>
      </w:r>
      <w:r w:rsidRPr="00276A3B">
        <w:rPr>
          <w:rFonts w:ascii="Verdana" w:hAnsi="Verdana"/>
          <w:noProof/>
          <w:color w:val="3E3E3E"/>
          <w:sz w:val="18"/>
          <w:szCs w:val="18"/>
        </w:rPr>
        <w:t>• Neuronal Stem Cells</w:t>
      </w:r>
    </w:p>
    <w:p w:rsidR="001E10C2" w:rsidRPr="00276A3B" w:rsidRDefault="001E10C2" w:rsidP="001E10C2">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Fonts w:ascii="Verdana" w:hAnsi="Verdana"/>
          <w:noProof/>
          <w:color w:val="3E3E3E"/>
          <w:sz w:val="18"/>
          <w:szCs w:val="18"/>
        </w:rPr>
        <w:tab/>
      </w:r>
      <w:r w:rsidRPr="00276A3B">
        <w:rPr>
          <w:rStyle w:val="Strong"/>
          <w:rFonts w:ascii="Verdana" w:hAnsi="Verdana"/>
          <w:noProof/>
          <w:color w:val="214F73"/>
          <w:sz w:val="18"/>
          <w:szCs w:val="18"/>
        </w:rPr>
        <w:t> </w:t>
      </w:r>
      <w:r w:rsidRPr="00276A3B">
        <w:rPr>
          <w:rFonts w:ascii="Verdana" w:hAnsi="Verdana"/>
          <w:noProof/>
          <w:color w:val="3E3E3E"/>
          <w:sz w:val="18"/>
          <w:szCs w:val="18"/>
        </w:rPr>
        <w:t>• Dental Stem Cells</w:t>
      </w:r>
    </w:p>
    <w:p w:rsidR="001E10C2" w:rsidRPr="00276A3B" w:rsidRDefault="001E10C2" w:rsidP="001E10C2">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Fonts w:ascii="Verdana" w:hAnsi="Verdana"/>
          <w:noProof/>
          <w:color w:val="3E3E3E"/>
          <w:sz w:val="18"/>
          <w:szCs w:val="18"/>
        </w:rPr>
        <w:tab/>
      </w:r>
      <w:r w:rsidRPr="00276A3B">
        <w:rPr>
          <w:rStyle w:val="Strong"/>
          <w:rFonts w:ascii="Verdana" w:hAnsi="Verdana"/>
          <w:noProof/>
          <w:color w:val="214F73"/>
          <w:sz w:val="18"/>
          <w:szCs w:val="18"/>
        </w:rPr>
        <w:t> </w:t>
      </w:r>
      <w:r w:rsidRPr="00276A3B">
        <w:rPr>
          <w:rFonts w:ascii="Verdana" w:hAnsi="Verdana"/>
          <w:noProof/>
          <w:color w:val="3E3E3E"/>
          <w:sz w:val="18"/>
          <w:szCs w:val="18"/>
        </w:rPr>
        <w:t>• Umbilical Cord Stem Cells</w:t>
      </w:r>
    </w:p>
    <w:p w:rsidR="001E10C2" w:rsidRPr="00276A3B" w:rsidRDefault="001E10C2" w:rsidP="001E10C2">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Style w:val="Strong"/>
          <w:rFonts w:ascii="Verdana" w:hAnsi="Verdana"/>
          <w:noProof/>
          <w:color w:val="214F73"/>
          <w:sz w:val="18"/>
          <w:szCs w:val="18"/>
        </w:rPr>
        <w:t> </w:t>
      </w:r>
      <w:r w:rsidRPr="00276A3B">
        <w:rPr>
          <w:rFonts w:ascii="Verdana" w:hAnsi="Verdana"/>
          <w:noProof/>
          <w:color w:val="3E3E3E"/>
          <w:sz w:val="18"/>
          <w:szCs w:val="18"/>
        </w:rPr>
        <w:t>• Human Embryonic Stem Cells</w:t>
      </w:r>
    </w:p>
    <w:p w:rsidR="001E10C2" w:rsidRPr="00276A3B" w:rsidRDefault="001E10C2" w:rsidP="001E10C2">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Style w:val="apple-converted-space"/>
          <w:rFonts w:ascii="Verdana" w:hAnsi="Verdana"/>
          <w:b/>
          <w:bCs/>
          <w:noProof/>
          <w:color w:val="214F73"/>
          <w:sz w:val="18"/>
          <w:szCs w:val="18"/>
        </w:rPr>
        <w:t> </w:t>
      </w:r>
      <w:r w:rsidRPr="00276A3B">
        <w:rPr>
          <w:rFonts w:ascii="Verdana" w:hAnsi="Verdana"/>
          <w:noProof/>
          <w:color w:val="3E3E3E"/>
          <w:sz w:val="18"/>
          <w:szCs w:val="18"/>
        </w:rPr>
        <w:t>• Induced Pluripotent Stem Cells</w:t>
      </w:r>
    </w:p>
    <w:p w:rsidR="001E10C2" w:rsidRPr="00276A3B" w:rsidRDefault="001E10C2" w:rsidP="001E10C2">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Style w:val="Strong"/>
          <w:rFonts w:ascii="Verdana" w:hAnsi="Verdana"/>
          <w:noProof/>
          <w:color w:val="214F73"/>
          <w:sz w:val="18"/>
          <w:szCs w:val="18"/>
        </w:rPr>
        <w:t> </w:t>
      </w:r>
      <w:r w:rsidRPr="00276A3B">
        <w:rPr>
          <w:rFonts w:ascii="Verdana" w:hAnsi="Verdana"/>
          <w:noProof/>
          <w:color w:val="3E3E3E"/>
          <w:sz w:val="18"/>
          <w:szCs w:val="18"/>
        </w:rPr>
        <w:t>• Natural Rosette Cells</w:t>
      </w:r>
    </w:p>
    <w:p w:rsidR="001E10C2" w:rsidRPr="00276A3B" w:rsidRDefault="001E10C2" w:rsidP="001E10C2">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Style w:val="Strong"/>
          <w:rFonts w:ascii="Verdana" w:hAnsi="Verdana"/>
          <w:noProof/>
          <w:color w:val="214F73"/>
          <w:sz w:val="18"/>
          <w:szCs w:val="18"/>
        </w:rPr>
        <w:t> </w:t>
      </w:r>
      <w:r w:rsidRPr="00276A3B">
        <w:rPr>
          <w:rFonts w:ascii="Verdana" w:hAnsi="Verdana"/>
          <w:noProof/>
          <w:color w:val="3E3E3E"/>
          <w:sz w:val="18"/>
          <w:szCs w:val="18"/>
        </w:rPr>
        <w:t>• Very Small Embryonic Like Stem Cells</w:t>
      </w:r>
    </w:p>
    <w:p w:rsidR="001E10C2" w:rsidRPr="00276A3B" w:rsidRDefault="001E10C2" w:rsidP="001E10C2">
      <w:pPr>
        <w:spacing w:after="150" w:line="315" w:lineRule="atLeast"/>
        <w:jc w:val="both"/>
        <w:rPr>
          <w:rStyle w:val="Strong"/>
          <w:rFonts w:ascii="Verdana" w:hAnsi="Verdana"/>
          <w:noProof/>
          <w:color w:val="214F73"/>
          <w:sz w:val="18"/>
          <w:szCs w:val="18"/>
        </w:rPr>
      </w:pPr>
      <w:r w:rsidRPr="00276A3B">
        <w:rPr>
          <w:rStyle w:val="Strong"/>
          <w:rFonts w:ascii="Verdana" w:hAnsi="Verdana"/>
          <w:noProof/>
          <w:color w:val="214F73"/>
          <w:sz w:val="18"/>
          <w:szCs w:val="18"/>
        </w:rPr>
        <w:t> • Stem Cells Application Outlook</w:t>
      </w:r>
    </w:p>
    <w:p w:rsidR="001E10C2" w:rsidRPr="00276A3B" w:rsidRDefault="001E10C2" w:rsidP="001E10C2">
      <w:pPr>
        <w:spacing w:after="150" w:line="315" w:lineRule="atLeast"/>
        <w:jc w:val="both"/>
        <w:rPr>
          <w:rFonts w:ascii="Verdana" w:hAnsi="Verdana"/>
          <w:noProof/>
          <w:color w:val="3E3E3E"/>
          <w:sz w:val="18"/>
          <w:szCs w:val="18"/>
        </w:rPr>
      </w:pPr>
      <w:r w:rsidRPr="00276A3B">
        <w:rPr>
          <w:rStyle w:val="Strong"/>
          <w:rFonts w:ascii="Verdana" w:hAnsi="Verdana"/>
          <w:noProof/>
          <w:color w:val="214F73"/>
          <w:sz w:val="18"/>
          <w:szCs w:val="18"/>
        </w:rPr>
        <w:tab/>
        <w:t> </w:t>
      </w:r>
      <w:r w:rsidRPr="00276A3B">
        <w:rPr>
          <w:rFonts w:ascii="Verdana" w:hAnsi="Verdana"/>
          <w:noProof/>
          <w:color w:val="3E3E3E"/>
          <w:sz w:val="18"/>
          <w:szCs w:val="18"/>
        </w:rPr>
        <w:t>• Regenerative Medicine</w:t>
      </w:r>
    </w:p>
    <w:p w:rsidR="001E10C2" w:rsidRPr="00276A3B" w:rsidRDefault="001E10C2" w:rsidP="001E10C2">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Fonts w:ascii="Verdana" w:hAnsi="Verdana"/>
          <w:noProof/>
          <w:color w:val="3E3E3E"/>
          <w:sz w:val="18"/>
          <w:szCs w:val="18"/>
        </w:rPr>
        <w:tab/>
        <w:t>• Neurology</w:t>
      </w:r>
    </w:p>
    <w:p w:rsidR="001E10C2" w:rsidRPr="00276A3B" w:rsidRDefault="001E10C2" w:rsidP="001E10C2">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Fonts w:ascii="Verdana" w:hAnsi="Verdana"/>
          <w:noProof/>
          <w:color w:val="3E3E3E"/>
          <w:sz w:val="18"/>
          <w:szCs w:val="18"/>
        </w:rPr>
        <w:tab/>
      </w:r>
      <w:r w:rsidRPr="00276A3B">
        <w:rPr>
          <w:rStyle w:val="Strong"/>
          <w:rFonts w:ascii="Verdana" w:hAnsi="Verdana"/>
          <w:noProof/>
          <w:color w:val="214F73"/>
          <w:sz w:val="18"/>
          <w:szCs w:val="18"/>
        </w:rPr>
        <w:t> </w:t>
      </w:r>
      <w:r w:rsidRPr="00276A3B">
        <w:rPr>
          <w:rFonts w:ascii="Verdana" w:hAnsi="Verdana"/>
          <w:noProof/>
          <w:color w:val="3E3E3E"/>
          <w:sz w:val="18"/>
          <w:szCs w:val="18"/>
        </w:rPr>
        <w:t>• Orthopedics</w:t>
      </w:r>
    </w:p>
    <w:p w:rsidR="001E10C2" w:rsidRPr="00276A3B" w:rsidRDefault="001E10C2" w:rsidP="001E10C2">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Fonts w:ascii="Verdana" w:hAnsi="Verdana"/>
          <w:noProof/>
          <w:color w:val="3E3E3E"/>
          <w:sz w:val="18"/>
          <w:szCs w:val="18"/>
        </w:rPr>
        <w:tab/>
      </w:r>
      <w:r w:rsidRPr="00276A3B">
        <w:rPr>
          <w:rStyle w:val="Strong"/>
          <w:rFonts w:ascii="Verdana" w:hAnsi="Verdana"/>
          <w:noProof/>
          <w:color w:val="214F73"/>
          <w:sz w:val="18"/>
          <w:szCs w:val="18"/>
        </w:rPr>
        <w:t> </w:t>
      </w:r>
      <w:r w:rsidRPr="00276A3B">
        <w:rPr>
          <w:rFonts w:ascii="Verdana" w:hAnsi="Verdana"/>
          <w:noProof/>
          <w:color w:val="3E3E3E"/>
          <w:sz w:val="18"/>
          <w:szCs w:val="18"/>
        </w:rPr>
        <w:t>• Oncology</w:t>
      </w:r>
    </w:p>
    <w:p w:rsidR="001E10C2" w:rsidRPr="00276A3B" w:rsidRDefault="001E10C2" w:rsidP="001E10C2">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Fonts w:ascii="Verdana" w:hAnsi="Verdana"/>
          <w:noProof/>
          <w:color w:val="3E3E3E"/>
          <w:sz w:val="18"/>
          <w:szCs w:val="18"/>
        </w:rPr>
        <w:tab/>
        <w:t>• Hematology</w:t>
      </w:r>
    </w:p>
    <w:p w:rsidR="001E10C2" w:rsidRPr="00276A3B" w:rsidRDefault="001E10C2" w:rsidP="001E10C2">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009D102B" w:rsidRPr="00276A3B">
        <w:rPr>
          <w:rFonts w:ascii="Verdana" w:hAnsi="Verdana"/>
          <w:noProof/>
          <w:color w:val="3E3E3E"/>
          <w:sz w:val="18"/>
          <w:szCs w:val="18"/>
        </w:rPr>
        <w:tab/>
      </w:r>
      <w:r w:rsidRPr="00276A3B">
        <w:rPr>
          <w:rStyle w:val="Strong"/>
          <w:rFonts w:ascii="Verdana" w:hAnsi="Verdana"/>
          <w:noProof/>
          <w:color w:val="214F73"/>
          <w:sz w:val="18"/>
          <w:szCs w:val="18"/>
        </w:rPr>
        <w:t> </w:t>
      </w:r>
      <w:r w:rsidRPr="00276A3B">
        <w:rPr>
          <w:rFonts w:ascii="Verdana" w:hAnsi="Verdana"/>
          <w:noProof/>
          <w:color w:val="3E3E3E"/>
          <w:sz w:val="18"/>
          <w:szCs w:val="18"/>
        </w:rPr>
        <w:t>• Cardiovascular and Myocardial Infraction</w:t>
      </w:r>
    </w:p>
    <w:p w:rsidR="009D102B" w:rsidRPr="00276A3B" w:rsidRDefault="009D102B" w:rsidP="001E10C2">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Fonts w:ascii="Verdana" w:hAnsi="Verdana"/>
          <w:noProof/>
          <w:color w:val="3E3E3E"/>
          <w:sz w:val="18"/>
          <w:szCs w:val="18"/>
        </w:rPr>
        <w:tab/>
        <w:t>• Injuries</w:t>
      </w:r>
    </w:p>
    <w:p w:rsidR="009D102B" w:rsidRPr="00276A3B" w:rsidRDefault="009D102B" w:rsidP="001E10C2">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Fonts w:ascii="Verdana" w:hAnsi="Verdana"/>
          <w:noProof/>
          <w:color w:val="3E3E3E"/>
          <w:sz w:val="18"/>
          <w:szCs w:val="18"/>
        </w:rPr>
        <w:tab/>
        <w:t>• Diabetes</w:t>
      </w:r>
    </w:p>
    <w:p w:rsidR="009D102B" w:rsidRPr="00276A3B" w:rsidRDefault="009D102B" w:rsidP="001E10C2">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Fonts w:ascii="Verdana" w:hAnsi="Verdana"/>
          <w:noProof/>
          <w:color w:val="3E3E3E"/>
          <w:sz w:val="18"/>
          <w:szCs w:val="18"/>
        </w:rPr>
        <w:tab/>
      </w:r>
      <w:r w:rsidRPr="00276A3B">
        <w:rPr>
          <w:rStyle w:val="Strong"/>
          <w:rFonts w:ascii="Verdana" w:hAnsi="Verdana"/>
          <w:noProof/>
          <w:color w:val="214F73"/>
          <w:sz w:val="18"/>
          <w:szCs w:val="18"/>
        </w:rPr>
        <w:t> </w:t>
      </w:r>
      <w:r w:rsidRPr="00276A3B">
        <w:rPr>
          <w:rFonts w:ascii="Verdana" w:hAnsi="Verdana"/>
          <w:noProof/>
          <w:color w:val="3E3E3E"/>
          <w:sz w:val="18"/>
          <w:szCs w:val="18"/>
        </w:rPr>
        <w:t>• Liver Disorder</w:t>
      </w:r>
    </w:p>
    <w:p w:rsidR="009D102B" w:rsidRPr="00276A3B" w:rsidRDefault="009D102B" w:rsidP="001E10C2">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Fonts w:ascii="Verdana" w:hAnsi="Verdana"/>
          <w:noProof/>
          <w:color w:val="3E3E3E"/>
          <w:sz w:val="18"/>
          <w:szCs w:val="18"/>
        </w:rPr>
        <w:tab/>
      </w:r>
      <w:r w:rsidRPr="00276A3B">
        <w:rPr>
          <w:rStyle w:val="Strong"/>
          <w:rFonts w:ascii="Verdana" w:hAnsi="Verdana"/>
          <w:noProof/>
          <w:color w:val="214F73"/>
          <w:sz w:val="18"/>
          <w:szCs w:val="18"/>
        </w:rPr>
        <w:t> </w:t>
      </w:r>
      <w:r w:rsidRPr="00276A3B">
        <w:rPr>
          <w:rFonts w:ascii="Verdana" w:hAnsi="Verdana"/>
          <w:noProof/>
          <w:color w:val="3E3E3E"/>
          <w:sz w:val="18"/>
          <w:szCs w:val="18"/>
        </w:rPr>
        <w:t>• Incontinence</w:t>
      </w:r>
    </w:p>
    <w:p w:rsidR="009D102B" w:rsidRPr="00276A3B" w:rsidRDefault="009D102B" w:rsidP="009D102B">
      <w:pPr>
        <w:spacing w:after="150" w:line="315" w:lineRule="atLeast"/>
        <w:ind w:left="1440"/>
        <w:jc w:val="both"/>
        <w:rPr>
          <w:rFonts w:ascii="Verdana" w:hAnsi="Verdana"/>
          <w:noProof/>
          <w:color w:val="3E3E3E"/>
          <w:sz w:val="18"/>
          <w:szCs w:val="18"/>
        </w:rPr>
      </w:pPr>
      <w:r w:rsidRPr="00276A3B">
        <w:rPr>
          <w:rFonts w:ascii="Verdana" w:hAnsi="Verdana"/>
          <w:noProof/>
          <w:color w:val="3E3E3E"/>
          <w:sz w:val="18"/>
          <w:szCs w:val="18"/>
        </w:rPr>
        <w:t>• Others (Crohn’s Disease, Infertility, Immunodeficiency Disorder, Organ Transplants, Ophthalmic Disorder)</w:t>
      </w:r>
    </w:p>
    <w:p w:rsidR="002C6D6E" w:rsidRPr="00276A3B" w:rsidRDefault="002C6D6E" w:rsidP="002C6D6E">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Style w:val="Strong"/>
          <w:rFonts w:ascii="Verdana" w:hAnsi="Verdana"/>
          <w:noProof/>
          <w:color w:val="214F73"/>
          <w:sz w:val="18"/>
          <w:szCs w:val="18"/>
        </w:rPr>
        <w:t> </w:t>
      </w:r>
      <w:r w:rsidRPr="00276A3B">
        <w:rPr>
          <w:rFonts w:ascii="Verdana" w:hAnsi="Verdana"/>
          <w:noProof/>
          <w:color w:val="3E3E3E"/>
          <w:sz w:val="18"/>
          <w:szCs w:val="18"/>
        </w:rPr>
        <w:t>• Drug Discovery and Development</w:t>
      </w:r>
    </w:p>
    <w:p w:rsidR="002C6D6E" w:rsidRPr="00276A3B" w:rsidRDefault="002C6D6E" w:rsidP="002C6D6E">
      <w:pPr>
        <w:spacing w:after="150" w:line="315" w:lineRule="atLeast"/>
        <w:jc w:val="both"/>
        <w:rPr>
          <w:rStyle w:val="Strong"/>
          <w:rFonts w:ascii="Verdana" w:hAnsi="Verdana"/>
          <w:noProof/>
          <w:color w:val="214F73"/>
          <w:sz w:val="18"/>
          <w:szCs w:val="18"/>
        </w:rPr>
      </w:pPr>
      <w:r w:rsidRPr="00276A3B">
        <w:rPr>
          <w:rStyle w:val="Strong"/>
          <w:rFonts w:ascii="Verdana" w:hAnsi="Verdana"/>
          <w:noProof/>
          <w:color w:val="214F73"/>
          <w:sz w:val="18"/>
          <w:szCs w:val="18"/>
        </w:rPr>
        <w:t>• Stem Cells Technology Outlook</w:t>
      </w:r>
    </w:p>
    <w:p w:rsidR="002C6D6E" w:rsidRPr="00276A3B" w:rsidRDefault="002C6D6E" w:rsidP="002C6D6E">
      <w:pPr>
        <w:spacing w:after="150" w:line="315" w:lineRule="atLeast"/>
        <w:jc w:val="both"/>
        <w:rPr>
          <w:rFonts w:ascii="Verdana" w:hAnsi="Verdana"/>
          <w:noProof/>
          <w:color w:val="3E3E3E"/>
          <w:sz w:val="18"/>
          <w:szCs w:val="18"/>
        </w:rPr>
      </w:pPr>
      <w:r w:rsidRPr="00276A3B">
        <w:rPr>
          <w:rStyle w:val="Strong"/>
          <w:rFonts w:ascii="Verdana" w:hAnsi="Verdana"/>
          <w:noProof/>
          <w:color w:val="214F73"/>
          <w:sz w:val="18"/>
          <w:szCs w:val="18"/>
        </w:rPr>
        <w:lastRenderedPageBreak/>
        <w:tab/>
        <w:t> </w:t>
      </w:r>
      <w:r w:rsidRPr="00276A3B">
        <w:rPr>
          <w:rFonts w:ascii="Verdana" w:hAnsi="Verdana"/>
          <w:noProof/>
          <w:color w:val="3E3E3E"/>
          <w:sz w:val="18"/>
          <w:szCs w:val="18"/>
        </w:rPr>
        <w:t>• Cell Acquisition</w:t>
      </w:r>
    </w:p>
    <w:p w:rsidR="002C6D6E" w:rsidRPr="00276A3B" w:rsidRDefault="002C6D6E" w:rsidP="002C6D6E">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Fonts w:ascii="Verdana" w:hAnsi="Verdana"/>
          <w:noProof/>
          <w:color w:val="3E3E3E"/>
          <w:sz w:val="18"/>
          <w:szCs w:val="18"/>
        </w:rPr>
        <w:tab/>
      </w:r>
      <w:r w:rsidRPr="00276A3B">
        <w:rPr>
          <w:rStyle w:val="Strong"/>
          <w:rFonts w:ascii="Verdana" w:hAnsi="Verdana"/>
          <w:noProof/>
          <w:color w:val="214F73"/>
          <w:sz w:val="18"/>
          <w:szCs w:val="18"/>
        </w:rPr>
        <w:t>  </w:t>
      </w:r>
      <w:r w:rsidRPr="00276A3B">
        <w:rPr>
          <w:rFonts w:ascii="Verdana" w:hAnsi="Verdana"/>
          <w:noProof/>
          <w:color w:val="3E3E3E"/>
          <w:sz w:val="18"/>
          <w:szCs w:val="18"/>
        </w:rPr>
        <w:t>• Bone Marrow Harvest</w:t>
      </w:r>
    </w:p>
    <w:p w:rsidR="002C6D6E" w:rsidRPr="00276A3B" w:rsidRDefault="002C6D6E" w:rsidP="002C6D6E">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Fonts w:ascii="Verdana" w:hAnsi="Verdana"/>
          <w:noProof/>
          <w:color w:val="3E3E3E"/>
          <w:sz w:val="18"/>
          <w:szCs w:val="18"/>
        </w:rPr>
        <w:tab/>
      </w:r>
      <w:r w:rsidRPr="00276A3B">
        <w:rPr>
          <w:rStyle w:val="Strong"/>
          <w:rFonts w:ascii="Verdana" w:hAnsi="Verdana"/>
          <w:noProof/>
          <w:color w:val="214F73"/>
          <w:sz w:val="18"/>
          <w:szCs w:val="18"/>
        </w:rPr>
        <w:t> </w:t>
      </w:r>
      <w:r w:rsidRPr="00276A3B">
        <w:rPr>
          <w:rFonts w:ascii="Verdana" w:hAnsi="Verdana"/>
          <w:noProof/>
          <w:color w:val="3E3E3E"/>
          <w:sz w:val="18"/>
          <w:szCs w:val="18"/>
        </w:rPr>
        <w:t>• Apheresis</w:t>
      </w:r>
    </w:p>
    <w:p w:rsidR="002C6D6E" w:rsidRPr="00276A3B" w:rsidRDefault="002C6D6E" w:rsidP="002C6D6E">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Fonts w:ascii="Verdana" w:hAnsi="Verdana"/>
          <w:noProof/>
          <w:color w:val="3E3E3E"/>
          <w:sz w:val="18"/>
          <w:szCs w:val="18"/>
        </w:rPr>
        <w:tab/>
        <w:t>• Umbilical Blood Cord</w:t>
      </w:r>
    </w:p>
    <w:p w:rsidR="002C6D6E" w:rsidRPr="00276A3B" w:rsidRDefault="002C6D6E" w:rsidP="002C6D6E">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Style w:val="Strong"/>
          <w:rFonts w:ascii="Verdana" w:hAnsi="Verdana"/>
          <w:noProof/>
          <w:color w:val="214F73"/>
          <w:sz w:val="18"/>
          <w:szCs w:val="18"/>
        </w:rPr>
        <w:t> </w:t>
      </w:r>
      <w:r w:rsidRPr="00276A3B">
        <w:rPr>
          <w:rFonts w:ascii="Verdana" w:hAnsi="Verdana"/>
          <w:noProof/>
          <w:color w:val="3E3E3E"/>
          <w:sz w:val="18"/>
          <w:szCs w:val="18"/>
        </w:rPr>
        <w:t>• Cell Production</w:t>
      </w:r>
    </w:p>
    <w:p w:rsidR="002C6D6E" w:rsidRPr="00276A3B" w:rsidRDefault="002C6D6E" w:rsidP="002C6D6E">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Fonts w:ascii="Verdana" w:hAnsi="Verdana"/>
          <w:noProof/>
          <w:color w:val="3E3E3E"/>
          <w:sz w:val="18"/>
          <w:szCs w:val="18"/>
        </w:rPr>
        <w:tab/>
      </w:r>
      <w:r w:rsidRPr="00276A3B">
        <w:rPr>
          <w:rStyle w:val="Strong"/>
          <w:rFonts w:ascii="Verdana" w:hAnsi="Verdana"/>
          <w:noProof/>
          <w:color w:val="214F73"/>
          <w:sz w:val="18"/>
          <w:szCs w:val="18"/>
        </w:rPr>
        <w:t> </w:t>
      </w:r>
      <w:r w:rsidRPr="00276A3B">
        <w:rPr>
          <w:rFonts w:ascii="Verdana" w:hAnsi="Verdana"/>
          <w:noProof/>
          <w:color w:val="3E3E3E"/>
          <w:sz w:val="18"/>
          <w:szCs w:val="18"/>
        </w:rPr>
        <w:t>• Therapeutic Cloning</w:t>
      </w:r>
    </w:p>
    <w:p w:rsidR="002C6D6E" w:rsidRPr="00276A3B" w:rsidRDefault="002C6D6E" w:rsidP="002C6D6E">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Fonts w:ascii="Verdana" w:hAnsi="Verdana"/>
          <w:noProof/>
          <w:color w:val="3E3E3E"/>
          <w:sz w:val="18"/>
          <w:szCs w:val="18"/>
        </w:rPr>
        <w:tab/>
      </w:r>
      <w:r w:rsidRPr="00276A3B">
        <w:rPr>
          <w:rStyle w:val="Strong"/>
          <w:rFonts w:ascii="Verdana" w:hAnsi="Verdana"/>
          <w:noProof/>
          <w:color w:val="214F73"/>
          <w:sz w:val="18"/>
          <w:szCs w:val="18"/>
        </w:rPr>
        <w:t> </w:t>
      </w:r>
      <w:r w:rsidRPr="00276A3B">
        <w:rPr>
          <w:rFonts w:ascii="Verdana" w:hAnsi="Verdana"/>
          <w:noProof/>
          <w:color w:val="3E3E3E"/>
          <w:sz w:val="18"/>
          <w:szCs w:val="18"/>
        </w:rPr>
        <w:t>• In Vitro Fertilization</w:t>
      </w:r>
    </w:p>
    <w:p w:rsidR="002C6D6E" w:rsidRPr="00276A3B" w:rsidRDefault="002C6D6E" w:rsidP="002C6D6E">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Fonts w:ascii="Verdana" w:hAnsi="Verdana"/>
          <w:noProof/>
          <w:color w:val="3E3E3E"/>
          <w:sz w:val="18"/>
          <w:szCs w:val="18"/>
        </w:rPr>
        <w:tab/>
        <w:t>• Isolation</w:t>
      </w:r>
    </w:p>
    <w:p w:rsidR="002C6D6E" w:rsidRPr="00276A3B" w:rsidRDefault="002C6D6E" w:rsidP="002C6D6E">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Fonts w:ascii="Verdana" w:hAnsi="Verdana"/>
          <w:noProof/>
          <w:color w:val="3E3E3E"/>
          <w:sz w:val="18"/>
          <w:szCs w:val="18"/>
        </w:rPr>
        <w:tab/>
        <w:t>• Cell Culture</w:t>
      </w:r>
    </w:p>
    <w:p w:rsidR="002C6D6E" w:rsidRPr="00276A3B" w:rsidRDefault="002C6D6E" w:rsidP="002C6D6E">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t>• Cryopreservation</w:t>
      </w:r>
    </w:p>
    <w:p w:rsidR="002C6D6E" w:rsidRPr="00276A3B" w:rsidRDefault="002C6D6E" w:rsidP="002C6D6E">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r w:rsidRPr="00276A3B">
        <w:rPr>
          <w:rStyle w:val="Strong"/>
          <w:rFonts w:ascii="Verdana" w:hAnsi="Verdana"/>
          <w:noProof/>
          <w:color w:val="214F73"/>
          <w:sz w:val="18"/>
          <w:szCs w:val="18"/>
        </w:rPr>
        <w:t> </w:t>
      </w:r>
      <w:r w:rsidRPr="00276A3B">
        <w:rPr>
          <w:rFonts w:ascii="Verdana" w:hAnsi="Verdana"/>
          <w:noProof/>
          <w:color w:val="3E3E3E"/>
          <w:sz w:val="18"/>
          <w:szCs w:val="18"/>
        </w:rPr>
        <w:t>• Expansion and Sub-Culture</w:t>
      </w:r>
    </w:p>
    <w:p w:rsidR="001E10C2" w:rsidRPr="00276A3B" w:rsidRDefault="001E10C2" w:rsidP="001E10C2">
      <w:pPr>
        <w:spacing w:after="150" w:line="315" w:lineRule="atLeast"/>
        <w:jc w:val="both"/>
        <w:rPr>
          <w:rFonts w:ascii="Verdana" w:hAnsi="Verdana"/>
          <w:noProof/>
          <w:color w:val="3E3E3E"/>
          <w:sz w:val="18"/>
          <w:szCs w:val="18"/>
        </w:rPr>
      </w:pPr>
    </w:p>
    <w:p w:rsidR="001E10C2" w:rsidRPr="00276A3B" w:rsidRDefault="001E10C2" w:rsidP="001E10C2">
      <w:pPr>
        <w:spacing w:after="150" w:line="315" w:lineRule="atLeast"/>
        <w:jc w:val="both"/>
        <w:rPr>
          <w:rFonts w:ascii="Verdana" w:hAnsi="Verdana"/>
          <w:noProof/>
          <w:color w:val="3E3E3E"/>
          <w:sz w:val="18"/>
          <w:szCs w:val="18"/>
        </w:rPr>
      </w:pPr>
    </w:p>
    <w:p w:rsidR="001E10C2" w:rsidRPr="00276A3B" w:rsidRDefault="001E10C2" w:rsidP="001E10C2">
      <w:pPr>
        <w:spacing w:after="150" w:line="315" w:lineRule="atLeast"/>
        <w:jc w:val="both"/>
        <w:rPr>
          <w:rFonts w:ascii="Verdana" w:hAnsi="Verdana"/>
          <w:noProof/>
          <w:color w:val="3E3E3E"/>
          <w:sz w:val="18"/>
          <w:szCs w:val="18"/>
        </w:rPr>
      </w:pPr>
    </w:p>
    <w:p w:rsidR="001E10C2" w:rsidRPr="00276A3B" w:rsidRDefault="001E10C2" w:rsidP="001E10C2">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p>
    <w:p w:rsidR="001E10C2" w:rsidRPr="00276A3B" w:rsidRDefault="001E10C2" w:rsidP="001E10C2">
      <w:pPr>
        <w:spacing w:after="150" w:line="315" w:lineRule="atLeast"/>
        <w:jc w:val="both"/>
        <w:rPr>
          <w:rFonts w:ascii="Verdana" w:hAnsi="Verdana"/>
          <w:noProof/>
          <w:color w:val="3E3E3E"/>
          <w:sz w:val="18"/>
          <w:szCs w:val="18"/>
        </w:rPr>
      </w:pPr>
      <w:r w:rsidRPr="00276A3B">
        <w:rPr>
          <w:rFonts w:ascii="Verdana" w:hAnsi="Verdana"/>
          <w:noProof/>
          <w:color w:val="3E3E3E"/>
          <w:sz w:val="18"/>
          <w:szCs w:val="18"/>
        </w:rPr>
        <w:tab/>
      </w:r>
    </w:p>
    <w:p w:rsidR="001E10C2" w:rsidRPr="00276A3B" w:rsidRDefault="001E10C2" w:rsidP="001E10C2">
      <w:pPr>
        <w:spacing w:after="150" w:line="315" w:lineRule="atLeast"/>
        <w:jc w:val="both"/>
        <w:rPr>
          <w:rFonts w:ascii="Verdana" w:eastAsia="Times New Roman" w:hAnsi="Verdana" w:cs="Times New Roman"/>
          <w:noProof/>
          <w:color w:val="3E3E3E"/>
          <w:sz w:val="18"/>
          <w:szCs w:val="18"/>
        </w:rPr>
      </w:pPr>
      <w:r w:rsidRPr="00276A3B">
        <w:rPr>
          <w:rFonts w:ascii="Verdana" w:hAnsi="Verdana"/>
          <w:noProof/>
          <w:color w:val="3E3E3E"/>
          <w:sz w:val="18"/>
          <w:szCs w:val="18"/>
        </w:rPr>
        <w:tab/>
      </w:r>
      <w:r w:rsidRPr="00276A3B">
        <w:rPr>
          <w:rFonts w:ascii="Verdana" w:hAnsi="Verdana"/>
          <w:noProof/>
          <w:color w:val="3E3E3E"/>
          <w:sz w:val="18"/>
          <w:szCs w:val="18"/>
        </w:rPr>
        <w:tab/>
      </w:r>
    </w:p>
    <w:sectPr w:rsidR="001E10C2" w:rsidRPr="00276A3B" w:rsidSect="002950D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87268"/>
    <w:multiLevelType w:val="multilevel"/>
    <w:tmpl w:val="A4AE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257375"/>
    <w:multiLevelType w:val="multilevel"/>
    <w:tmpl w:val="1C6E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075217"/>
    <w:multiLevelType w:val="multilevel"/>
    <w:tmpl w:val="2A3C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A55336"/>
    <w:multiLevelType w:val="multilevel"/>
    <w:tmpl w:val="1DF0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84439B"/>
    <w:multiLevelType w:val="multilevel"/>
    <w:tmpl w:val="9E88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YqSXTJE2fRrNHNNrQVb67edDfn0=" w:salt="eOX/q+ltjtUsqChWhUF4yg=="/>
  <w:defaultTabStop w:val="720"/>
  <w:characterSpacingControl w:val="doNotCompress"/>
  <w:compat>
    <w:useFELayout/>
  </w:compat>
  <w:rsids>
    <w:rsidRoot w:val="001E10C2"/>
    <w:rsid w:val="001E10C2"/>
    <w:rsid w:val="00211DFB"/>
    <w:rsid w:val="00276A3B"/>
    <w:rsid w:val="002950DE"/>
    <w:rsid w:val="002C6D6E"/>
    <w:rsid w:val="009D102B"/>
    <w:rsid w:val="00EF3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0DE"/>
  </w:style>
  <w:style w:type="paragraph" w:styleId="Heading1">
    <w:name w:val="heading 1"/>
    <w:basedOn w:val="Normal"/>
    <w:link w:val="Heading1Char"/>
    <w:uiPriority w:val="9"/>
    <w:qFormat/>
    <w:rsid w:val="001E10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0C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E10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E10C2"/>
  </w:style>
  <w:style w:type="character" w:styleId="Hyperlink">
    <w:name w:val="Hyperlink"/>
    <w:basedOn w:val="DefaultParagraphFont"/>
    <w:uiPriority w:val="99"/>
    <w:semiHidden/>
    <w:unhideWhenUsed/>
    <w:rsid w:val="001E10C2"/>
    <w:rPr>
      <w:color w:val="0000FF"/>
      <w:u w:val="single"/>
    </w:rPr>
  </w:style>
  <w:style w:type="character" w:styleId="Strong">
    <w:name w:val="Strong"/>
    <w:basedOn w:val="DefaultParagraphFont"/>
    <w:uiPriority w:val="22"/>
    <w:qFormat/>
    <w:rsid w:val="001E10C2"/>
    <w:rPr>
      <w:b/>
      <w:bCs/>
    </w:rPr>
  </w:style>
  <w:style w:type="paragraph" w:styleId="BalloonText">
    <w:name w:val="Balloon Text"/>
    <w:basedOn w:val="Normal"/>
    <w:link w:val="BalloonTextChar"/>
    <w:uiPriority w:val="99"/>
    <w:semiHidden/>
    <w:unhideWhenUsed/>
    <w:rsid w:val="001E1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0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9979391">
      <w:bodyDiv w:val="1"/>
      <w:marLeft w:val="0"/>
      <w:marRight w:val="0"/>
      <w:marTop w:val="0"/>
      <w:marBottom w:val="0"/>
      <w:divBdr>
        <w:top w:val="none" w:sz="0" w:space="0" w:color="auto"/>
        <w:left w:val="none" w:sz="0" w:space="0" w:color="auto"/>
        <w:bottom w:val="none" w:sz="0" w:space="0" w:color="auto"/>
        <w:right w:val="none" w:sz="0" w:space="0" w:color="auto"/>
      </w:divBdr>
      <w:divsChild>
        <w:div w:id="1608388836">
          <w:marLeft w:val="0"/>
          <w:marRight w:val="0"/>
          <w:marTop w:val="0"/>
          <w:marBottom w:val="0"/>
          <w:divBdr>
            <w:top w:val="none" w:sz="0" w:space="0" w:color="auto"/>
            <w:left w:val="none" w:sz="0" w:space="0" w:color="auto"/>
            <w:bottom w:val="none" w:sz="0" w:space="0" w:color="auto"/>
            <w:right w:val="none" w:sz="0" w:space="0" w:color="auto"/>
          </w:divBdr>
        </w:div>
        <w:div w:id="44422743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dviewresearch.com/industry-analysis/stem-cells-mark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631</Words>
  <Characters>3600</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5</cp:revision>
  <dcterms:created xsi:type="dcterms:W3CDTF">2015-01-02T04:10:00Z</dcterms:created>
  <dcterms:modified xsi:type="dcterms:W3CDTF">2015-02-01T05:29:00Z</dcterms:modified>
</cp:coreProperties>
</file>